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Новгородской области от 18.06.2019, оставленным без изменения постановлением Четырнадцатого арбитражного апелляционного суда от 24.09.2019 и постановлением Арбитражного суда Северо-Западного округа от 23.01.2020, в удовлетворении искового требования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электронного аукциона между обществом (подрядчик) и учреждением (заказчик) заключен контракт, по условиям которого подрядчик обязан в срок до 15.12.2018 выполнить работы по берегоукреплению и обустройству смотровых площадок и спусков к воде, набережной Рыбаков, расположенной в городе Старой Руссе Новгородской области, в соответствии с техническим заданием, календарным графиком выполнения работ, а также проектной и рабочей документацией, а заказчик – принять результат выполненных работ и оплатить. Ссылаясь на то, что согласно освидетельствованию фактически выполненных на объекте работ, оформленному актом от 04.12.2018, подрядчик выполняет работу настолько медленно, что окончание ее к сроку становится явно невозможным (пункт 13.1 контракта), заказчик 10.12.2018 принял решение об одностороннем отказе от исполнения контракта. Решением Управления Федеральной антимонопольной службы по Новгородской области от 22.01.2019 № РНП-53-41 общество включено в реестр недобросовестных поставщиков сроком на два года. Считая односторонний отказ учреждения от исполнения контракта незаконным, общество обратилось в арбитражный суд. Оценив представленные в материалы дела доказательства, суды, руководствуясь положениями Гражданского кодекса Российской Федерации, статьями 94,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 том, что отказ учреждения от исполнения контракта является обоснованным, соответствует требованиям закона и условиям контракта. Судебные инстанции исходили из непредставления обществом доказательств, подтверждающих выполнение работ по контракту в установленные сроки и надлежащее извещение заказчика о готовности к приемке выполненных работ до истечения установленных в договоре сроков выполнения работ либо до отказа учреждения от исполнения контракта. При этом факт ненадлежащего выполнения обществом условий контракта подтверждается представленными в дело материалами проверок, письмами, заключениями экспертов. Нарушение графика выполнения работ является существенным и неустранимым. Доводы, изложенные в кассационной жалобе, сводятся к повторению позиции общества о несоблюдении заказчиком порядка расторжения контракта и процедуры проведения экспертизы выполненных работ, являлись предметом рассмотрения судов и получили правовую оценку с учетом установленных обстоятельств дела. Несогласие заявителя с выводами судов, иная оценка им фактических обстоятельств спора и иное применение к ним положений закона не означают допущенной при рассмотрении дела судебной ошибки и не подтверждают существенных нарушений судами норм материального и процессуального права, повлиявших на исход дела. При таких обстоятельствах, оснований для передачи кассационной жалобы на рассмотрение в судебном заседании Судебной коллегии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«Научно-производственное объединение «Ранд»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"НПО "Ранд" (подробнее) Ответчики: МБУ "Административное управление городским хозяйством" (подробнее) Иные лица: ГАУ "Госэкспертиза Новгородской области" (подробнее) МОМВД России "Старорусский" (подробнее) ПАО "Промсвязьбанк"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