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17.07.2019, оставленным без изменения постановлением Девятого арбитражного апелляционного суда от 21.10.2019, в удовлетворении заявленного требования отказано. Постановлением Арбитражного суда Московского округа от 20.01.2020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при исчислении налога на имущество по кадастровой стоимости налоговая база объекта недвижимого имущества определена обществом самостоятельно расчетным путем (исходя из такой стоимости за вычетом суммы, равной величине налога на добавленную стоимость). Оценив представленные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суды отказали в удовлетворении заявленных требований, признав, что применение для целей налогообложения стоимости, отличной от кадастровой стоимости, содержащейся в государственном реестре, действующим законодательством не предусмотрено. При этом суды указали, что самостоятельная корректировка базы расчетным путем в рассматриваемом случае неправомерна,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Доказательств того, что общество в установленном порядке оспаривало кадастровую стоимость, не представлено.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"ПАРК АВЕНЮ" (подробнее) Ответчики: Инспекция Федеральной налоговой службы №19 по г. Москве (подробнее) Иные лица: УФНС России по гМоскве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