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30.05.2019, оставленным без изменения постановлением Девятого арбитражного апелляционного суда от 10.10.2019, в удовлетворении заявленного требования отказано. Постановлением Арбитражного суда Московского округа от 03.02.2020 указанные судебные акты оставлены без изменения. Общество обратилось в Верховный Суд Российской Федерации с кассационной жалобой, в которой ссылается на допущенные, по его мнению, нарушения норм материального и процессуального права.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классификационном коде, сопряженное с заявлением при описании товаров неполных сведений о характеристиках товара, его описании, влияющих на его классификацию. Оценив представленные доказательства, руководствуясь положениями Таможенного кодекса Евразийского экономического союза, суды пришли к выводу о доказанности таможенным органом в действиях общества состава правонарушения, ответственность за которое предусмотрена частью 2 статьи 16.2 Кодекса Российской Федерации об административных правонарушениях. Доводы общества относительно классификации ввезенного товара были предметом исследования судов и получили исчерпывающую правовую оценку исходя из представленных сторонами доказательств применительно к установленным обстоятельствам. Оснований для иных выводов исходя из полномочий Верховного Суда Российской Федерации не имеется.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"Милитцер и Мюнх" (подробнее) Ответчики: Брянская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