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«НЕФТЕПРОМСЕРВИС» обратился в суд с заявлением о признании недействительными сделками пункта 6.4 генерального договора от 10.03.2015 № Фк-002/15 об общих условиях факторингового обслуживания между должником и акционерным обществом «ГЛОБЭКСБАНК» и договора поручительства от 12.05.2015 № Фп-1-004/15, заключенного между должником и банком. Определением Арбитражного суда города Москвы от 11.07.2019, оставленным без изменения постановлениями Девятого арбитражного апелляционный суд от 14.10.2019 и Арбитражного суда Московского округа от 26.12.2019, требования удовлетворены.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от конкурсного кредитора общества с ограниченной ответственностью «УК «ГЕОКАПИТАЛ» отзыва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 и 170 Гражданского кодекса Российской Федерации, статьи 61.2 Федерального закона от 26.10.2002 № 127-ФЗ «О несостоятельности (банкротстве)», установив факт причинения вреда имущественным правам кредиторов должника и наличие осведомлённости участников данных отношений о преследуемой противоправной цели, пришли к выводу об их ничтожности.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Доводы заявителя, в том числе доводы о пропуске срока исковой давности,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«Межрегиональный коммерческий банк развития связи и информатики»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Е.С. Корнелюк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