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включении в реестр требований кредиторов должника 1 822 971 рубля 87 копеек задолженности по кредитному договору от 22.05.2015 № 92050248 и 6 424 098 рублей 44 копеек задолженности по кредитному договору от 17.09.2013 № 99050137 как обеспеченной залогом имущества должника. Определением Арбитражного суда Краснодарского края от 22.08.2019, оставленным без изменения постановлениями Пятнадцатого арбитражного апелляционного суда от 09.12.2019 и Арбитражного суда Северо-Кавказского округа от 26.02.2020,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382 , 810 , 819 Гражданского кодекса российской Федерации, статей 71, 100,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факта предоставлению должнику денежных средств по кредитным договорам и перехода от банка займодавца к ФИО2 права требования по договорам цессии, неисполненного к моменту обращения с соответствующим заявлением, в связи с чем пришли к выводу о наличии оснований для его включения в реестр. Выводы судов соответствуют нормам права, оснований для переоценки этих выводов по доводам жалобы не имеется. Доводы, изложенные в настоящей жалобе, в том числе о повторном удовлетворении требования кредитора в связи с включением его требования в реестр требований кредиторов супруги должника,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"Русфинанс Банк" (подробнее) ПАО Банк ВТБ (подробнее) ПАО Филиал "Сбербанк России" Юго-Западный банк Краснодарское отделение №8619 (подробнее) Иные лица: МИФНС №7 по КК (подробнее) НП "Уральская саморегулируемая организация арбитражных управляющих" (подробнее) Управление по вопросам семьи и детства администрации города Сочи (подробнее) Судьи дела: Корнелюк Е.С.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