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его требования, ранее включенного в реестр требований кредиторов должника, общим обязательством должника и его супруги Николаевой Надежды Ивановны. Определением Арбитражного суда Ростовской области от 17.07.2019 заявление удовлетворено. Постановлением Пятнадцатого арбитражного апелляционного суда от 17.11.2019, оставленным без изменения постановлением Арбитражного суда Северо-Кавказского округа от 21.01.2020,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руководствовался статьями 196, 199, 200, 308, 334, 335, 348, 810 Гражданского кодекса Российской Федерации, статьями 39, 45 Семейного кодекса Российской Федерации, статьями 213.25, 213.26 Федерального закона № 127-ФЗ от 26.10.2002 «О несостоятельности (банкротстве)», положениями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исходя из конкретных обстоятельств спора, установив, что требование заявителя возникло из обеспечительной сделки поручителя должника во исполнение обязательств третьего лица, не являющейся общим обязательством супругов, а также принимая во внимание пропуск обществом срока исковой давности, отказал в удовлетворении заявления.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«СпецАрматура»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