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операций по перечислению денежных средств со счёта должника в пользу Шифрина Эдуарда Владимировича на общую сумму 5 897 900 рублей, применении последствий недействительности сделки. Определением Арбитражного суда города Москвы от 27.08.2019, оставленным без изменения постановлением Девятого арбитражного апелляционного суда от 24.10.2019, в удовлетворении заявления отказано. Постановлением Арбитражного суда Московского округа от 25.12.2019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10, 168, 170 Гражданского кодекса Российской Федерации, исходил из того, что они вынесены без полного исследования всех доказательств и фактических обстоятельств, имеющих существенное значение для правильного разрешения спора, а также вне проверки доводов конкурсного управляющего должником.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«Миллениум Проперти Менеджмент» Мальцеву Денису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