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Ивановская Наталья Филипповна обратилась в суд с заявлениями, в которых просила право собственности на долю в общей долевой собственности в объекте незавершенного строительства в виде однокомнатной квартиры № 16 (номер строительный), общей площадью 37, 90 кв.м. (с учётом лоджии с коэффициентом 0,5), расположенной на 3 этаже секции № 1, по ул. Революционной Железнодорожного района г. Самары, на земельном участке с кадастровым номером 63:01:0118001:18; признать право собственности на долю в общей долевой собственности в объекте незавершенного строительства в виде однокомнатной квартиры строительный № 20 (номер строительный), общей площадью 42, 50 кв.м. (с учётом лоджии с коэффициентом 0,5), расположенной на 3 этаже в секции № 1 по ул. Революционной Железнодорожного района г. Самары, на земельном участке с кадастровым номером 63:01:0118001:18 Определением Арбитражного суда Самарской области от 26.06.2019, оставленным без изменения постановлениями Одиннадцатого арбитражного апелляционного суда от 01.10.2019 и Арбитражного суда Поволжского округа от 18.12.2019, заявления удовлетворены.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отказе в удовлетворении заявленных требований.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положениями статей 16, 71, 100, 201.1, 201.5, 201.8 Федерального закона от 26.10.2002 № 127-ФЗ «О несостоятельности (банкротстве)», статей 8, 12, 219, 308.3, 398 Гражданского кодекса Российской Федерации и исходили из того, что требования Ивановской Н.Ф. ранее были включены в реестр требований кредиторов о передаче жилых помещений, поэтому в данном конкретном случае с учётом сложившейся ситуации при строительстве дома заявитель вправе рассчитывать на признание за ней права собственности на долю в объекте строительства. При этом суды сослались также на положения статьи 19 Конституции Российской Федерации и указали что иные кредиторы, находящиеся в схожей ситуации, получили удовлетворение своих требований, в связи с чем, принцип равенства предполагает необходимым внесение аналогичного решения и в настоящем деле. Доводы заявителя кассационной жалобы выводы судов не опровергают и не свидетельствуют о наличии оснований для передачи жалобы на рассмотрение в судебном заседании.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строительства Самарской области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