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Скобенникова Людмила Николаевна обратилась в суд с заявлением, в котором просила признать право собственности на долю в общей долевой собственности в объекте незавершенного строительства в виде трехкомнатной квартиры № 48 (номер строительный) общей площадью 77,72 кв.м., расположенной на 7 этаже в секции № 2 по ул. Революционной Железнодорожного района г. Самары (район кинотеатра «Старт») на земельном участке с кадастровым номером 63:01:0118001:18. Определением Арбитражного суда Самарской области от 03.06.2019, оставленным без изменения постановлениями Одиннадцатого арбитражного апелляционного суда от 04.09.2019 и Арбитражного суда Поволжского округа от 18.12.2019,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Скобенниковой Л.Н.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заявитель вправе рассчитывать на признание за ней права собственности на долю в объекте строительства. При этом суды сослались также на положения статьи 19 Конституции Российской Федерации и указали что иные кредиторы, находящиеся в схожей ситуации, получили удовлетворение своих требований, в связи с чем, принцип равенства предполагает необходимым внесение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Самарской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