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компания обратилась в суд с иском к публичному акционерному обществу «Вологодская сбытовая компания» (далее – должник) о взыскании 510 000 рублей задолженности по лизинговым платежам, 33 572 рублей 67 копеек процентов за пользование чужими денежными средствами. Дело рассмотрено в порядке упрощённого производства. Решением Арбитражного суда города Москвы от 30.07.2019, оставленным без изменения постановлением Девятого арбитражного апелляционного суда от 17.10.2019, иск удовлетворён. Постановлением Арбитражного суда Московского округа от 14.02.2020 постановление апелляционного суда отменено, дело направлено на новое рассмотрение в Девятый арбитражный апелляционный суд. В кассационной жалобе, поданной в Верховный Суд Российской Федерации, заявитель просит отменить постановление суда округа, постановление апелляционного суда оставить в силе.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постановление апелляционного суда и направляя дело на новое рассмотрение, суд округа руководствовался положениями пункта 24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 из того, что изложенные в нём выводы основаны на неполном выяснении фактических обстоятельств дела, имеющихся в нём доказательств и доводов конкурсного управляющего должником о мнимости сделки, положенной в основу иска, что привело к преждевременным выводам о наличии оснований для его удовлетворения, влекущего риск необоснованного увеличения кредиторской задолженности в ущерб правам и законным интересам кредиторов должника.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При новом рассмотрении заявитель не лишён возможности изложить свои доводы со ссылками на нормы права и имеющиеся в деле доказательства, поскольку дело направлено судом округа на новое рассмотрение, а вопрос об удовлетворении либо отказе в удовлетворении иска не был окончательно разрешён.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«Единая торгово- закупочная компания «Энергия»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"Единая Торгово-Закупочная Компания "Энергия" (подробнее) ООО "ЕТЗК "Энергия" (подробнее) Ответчики: ПАО "Вологодская сбытовая компания"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