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«ОРГМЕТСТРОЙ» (далее – общество) обратилось в суд с заявлением о включении в реестр требований кредиторов должника 156 028 767 рублей 12 копеек задолженности и процентов. Определением Арбитражного суда города Москвы от 23.08.2019 заявление удовлетворено. Постановлением Девятого арбитражного апелляционного суда от 17.10.2019 вышеуказанное определение отменено, в удовлетворении заявления отказано. Постановлением Арбитражного суда Московского округа от 16.01.2020 отменено постановление апелляционного суда от 17.10.2019, определение суда первой инстанции от 23.08.2019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142, 143, 815 Гражданского кодекса Российской Федерации, статей 71, 100, 142 Федерального закона от 26.10.2002 № 127-ФЗ «О несостоятельности (банкротстве)», указал на реальный характер цепочки правоотношений лиц и обязательств, положенных в основу вексельного долга перед обществом, в связи с чем признал требование обоснованным и включил его в реестр требований кредиторов должника. Отменяя принятое по делу постановление апелляционного суда и оставляя в силе определение суда первой инстанции, окружной суд согласился с подобными выводами, отклонив возражения заявителя о мнимом характере сделки купли-продажи векселей, а также отсутствия экономической целесообразности её заключения в условиях возможности приобретения ценных бумаг в рассрочку с реальным эмитентом для дальнейшего использования по своему усмотрению и их продажи обществом в целях получения дополнительной платы за коммерческий кредит. Оснований для переоценки выводов судов первой инстанции и округа по доводам жалобы не имеется. Доводы, изложенные в настоящей жалобе, получили надлежащую правовую оценку судом округа, отклонены как несостоятельные с подробным изложением мотивов отклонения.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«КТ-ТРАСТ»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