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18.07.2019 в редакции определения от 12.08.2019 об исправлении опечатки, оставленным без изменения постановлением Восемнадцатого арбитражного апелляционного суда от 02.10.2019 и постановлением Арбитражного суда Уральского округа от 26.12.2019, с предприятия взыскано 127 991 рубль 03 копейки процентов за пользование чужими денежными средствами, 3 058 рублей расходов по уплате государственной пошлины; с общества в пользу предприятия взыскано 100 068 рублей в возмещение расходов на экспертизу. 2 В кассационной жалобе общество просит отменить судебные акты в неудовлетовренной части иска, ссылаясь на предъявление претензии к качеству товара в неразумный срок. Предприятие в кассационной жалобе указывает на неправомерное распределение судебных издержек.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несоответствие части поставленного обществом (поставщиком) товара требованиям качества и просрочку оплаты предприятием (заказчиком) товара надлежащего качества, поэтому частично удовлетворил иск на основании статей 309, 310, 395, 469, 506 Гражданского кодекса Российской Федерации и обстоятельств исполнения обязательства. Законного основания для обязания к оплате товара в полном объеме суды не установили. Судебные расходы распределены по правилам статей 101, 106, 110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Производственная компания «Макро Микро» и Федеральному государственному унитарному предприятию «Производственное объединение «Маяк»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