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15.07.2019, оставленным без изменения постановлением Одиннадцатого арбитражного апелляционного суда от 11.09.2019 и постановлением Арбитражного суда Поволжского округа от 19.12.2019, исковые требования удовлетворены в части взыскания долга. В кассационной жалобе общество «Импульс-Ойл» просит о пересмотре судебных актов, ссылаясь на неправомерное непризнание поставок совершенными в рамках действовавших договоров.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Обязанностей доказывания обстоятельств, на которых основан иск, возложена на истца (статья 65 Арбитражного процессуального кодекса Российской Федерации). Отнесение поставок к конкретному договору из числа нескольких заключенных договоров истец не обосновал, поэтому во взыскании договорной неустойки правомерно отказано.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«Импульс-Ойл»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"Импульс-Ойл", г.Кукмор (подробнее) Ответчики: ООО "Строй-Гарант", Кукморский район, г..Кукмор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