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18.07.2019 в редакции определения от 12.08.2019 об исправлении опечатки, оставленным без изменения постановлением Восемнадцатого арбитражного апелляционного суда от 02.10.2019 и постановлением Арбитражного суда Уральского округа от 26.12.2019, с предприятия взыскано 127 991 рубль 03 копейки процентов за пользование чужими денежными средствами, 3 058 рублей расходов по уплате государственной пошлины; с общества в пользу предприятия взыскано 100 068 рублей в возмещение расходов на экспертизу. В кассационной жалобе общество просит отменить судебные акты в неудовлетовренной части иска, ссылаясь на предъявление претензии к качеству товара в неразумный срок. Предприятие в кассационной жалобе указывает на неправомерное распределение судебных издержек.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несоответствие части поставленного обществом (поставщиком) товара требованиям качества и просрочку оплаты предприятием (заказчиком) товара надлежащего качества, поэтому частично удовлетворил иск на основании статей 309 , 310 , 395 , 469 , 506 Гражданского кодекса Российской Федерации и обстоятельств исполнения обязательства. Законного основания для обязания к оплате товара в полном объеме суды не установили. Судебные расходы распределены по правилам статей 101 , 106 , 110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Производственная компания «Макро Микро» и Федеральному государственному унитарному предприятию «Производственное объединение «Маяк»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ПК "Макро Микро" (подробнее) Ответчики: ФГУП "Производственное объединение "Маяк" (подробнее) Иные лица: Южно-Уральская Торгово-Промышленная палата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