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08.05.2019, оставленным без изменения постановлением Тринадцатого арбитражного апелляционного суда от 12.08.2019 и постановлением Арбитражного суда Северо-Западного округа от 13.12.2019, в иске отказано. В кассационной жалобе общество «Балтик экспресс» просит об отмене судебных актов, ссылаясь на неосновательное ограничение права на устранение недостатков в пределах постгарантийного срока.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Судами исследованы обстоятельства возгорания тягача и не установлено их причинно-следственной связи с действиями производителя и продавца, за которые ответственны ответчики, поэтому в иске к ним отказано в соответствии со статьями 15, 454, 469, 476, 477 Гражданского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«Балтик экспресс»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