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предпринимателя на вышеуказанные судебные акты. До рассмотрения кассационной жалобы от предпринимателя поступило ходатайство об отзыве жалобы без рассмотрения по существу. Из материалов кассационного производства усматривается, что отзыв кассационной жалобы не противоречит закону и не нарушает прав других лиц. С учетом изложенного ходатайство предпринимателя подлежит удовлетворению, а жалоба - возврату без рассмотрения по существу. Руководствуясь статьями 184 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об отзыве кассационной жалобы без рассмотрения по существу. Кассационную жалобу на постановление Одиннадцатого арбитражного апелляционного суда от 23.09.2019 и постановление Арбитражного суда Поволжского округа от 04.02.2020 по делу № А65-13957/2018 Арбитражного суда Республики Татарстан возвратить заявителю. Судья Верховного СудаРоссийской Федерации М.К. Антонова Суд: Верховный Суд РФ (подробнее) Истцы: ИП Гимадеев Раиль Рустамович (подробнее) Ответчики: Исполнительный комитет Кукморского муниципального района, Кукморский район, пгт.Кукмор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