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04.06.2019, оставленным без изменения постановлением Седьмого арбитражного апелляционного суда от 17.09.2019 и постановлением Арбитражного суда Западно-Сибирского округа от 17.12.2019, иск удовлетворен. В кассационной жалобе центр просит об отмене судебных актов, ссылаясь на прекращение договора надлежащим исполнением и отсутствие договорных условий для корректировки фиксированной цены продукции.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Учитывая, что стороны связаны правоотношениями по государственному оборонному заказу и не свободны в установлении цены на продукцию, суды удовлетворили основанные на договоре, статьях 421, 422, 424, 431 Гражданского кодекса Российской Федерации, Федеральным законом от 29.12.2012 № 275-ФЗ «О государственном оборонном заказе» изменения договорного условия, касающегося формирования цены.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«Научно-производственный центр «Полюс»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