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14.06.2019, оставленным без изменения постановлением Тринадцатого арбитражного апелляционного суда от 08.10.2019 и постановлением Арбитражного суда Северо-Западного округа от 30.01.2020, иск удовлетворен. В кассационной жалобе общество «Снабинвест» просит об отмене судебных актов, ссылаясь на отсутствие условий для взыскания убытков и ответственность за них иных лиц.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заявленные расходы понесены истцом в связи с неисправностями аппаратов, поставленных ответчиком в рамках договора от 02.09.2014 № 207/10-19/14, которым согласована обязанность ответчика самостоятельно урегулировать все требования и возместить расходы и убытки покупателя. Таким образом, довод заявителя об ответственности за заявленные убытки иных лиц неоснователен. Условия, необходимые в силу статей 15 , 393 Гражданского кодекса Российской Федерации для взыскания заявленных убытков установлены.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«Снабинвест»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"ТРАНСОЙЛ" (подробнее) Ответчики: ООО "СнабИнвест"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