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Мурманской области от 28.05.2019, оставленным без изменения постановлением Тринадцатого арбитражного апелляционного суда от 29.08.2019 и постановлением Арбитражного суда Северо-Западного округа от 17.12.2019, иск удовлетворен вследствие установления необходимых условий для взыскания убытков. В кассационной жалобе порт просит о пересмотре судебных актов, ссылаясь на отсутствие причинно-следственной связи между причиненными повреждениями и расходами на контрольно-регламентные работы.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вагон подвергся ремонту в необходимом объеме, выявленном контрольно-регламентными работами, в связи с повреждением, к которому причастен порт, поэтому стоимость контрольно-регламентных работ находится в причинно-следственной связи с отцепкой и возложена на порт в соответствии со статьями 15 , 1064 Гражданского кодекса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«Мурманский морской торговый порт»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"Первая грузовая компания" (подробнее) Ответчики: АО "МУРМАНСКИЙ МОРСКОЙ ТОРГОВЫЙ ПОРТ" (подробнее) Судьи дела: Ксенофонтова 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