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12.07.2019 первоначальный иск удовлетворен, во встречном иске отказано. Постановлением Девятого арбитражного апелляционного суда от 17.10.2019 решение изменено в отношении неустойки. Постановлением Арбитражного суда Московского округа от 30.01.2020 постановление апелляционного суда отменено в части взыскания неустойки, дело в этой части направлено на новое рассмотрение в апелляционный суд. В кассационной жалобе общество «АРТИК ДЕВЕЛОПМЕНТ» просит отменить постановление окружного суда, ссылаясь на превышение пределов компетенции.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установил, что суд апелляционной инстанции не рассмотрел возражений ответчика в отношении размера заявленной неустойки и для их рассмотрения направил дело на новое рассмотрение этого суда в пределах статей 286 - 288 Арбитражного процессуального кодекса Российской Федерации.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«АРТИК ДЕВЕЛОПМЕНТ»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Ответчики: ООО "АРКТИК ДЕВЕЛОПМЕНТ" (подробнее) ООО "Сервисный центр-Тольяттинский трансформатор" (подробнее) ООО "ЮниРент"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