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11.09.2019 производство по делу прекращено в связи с неподведомственностью дела арбитражному суду. Постановлением Девятого арбитражного апелляционного суда от 13.11.2019, оставленным без изменения постановлением Арбитражного суда Московского округа от 27.01.2020, определение от 11.09.2019 отменено, вопрос направлен на новое рассмотрение. В кассационной жалобе ответчик просит об отмене постановлений апелляционного и окружного судов, ссылаясь на игнорирование преюдиции судебного акта суда общей юрисдикции в вопросе подведомственности спора из рассматриваемого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Обжалуемые судебные акты не создают конкуренции в вопросе подведомственности различных споров сторон из одного и того же договора, поскольку принимая их, арбитражные суды учитывали, что находящийся в суде общей юрисдикции спор по существу не разрешен. В указанной ситуации доводы заявителя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Петросян Ж.А. (подробнее) Ответчики: Четкович Видеканич Н. В.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