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08.07.2019, оставленным без изменения постановлением Пятнадцатого арбитражного апелляционного суда от 19.10.2019, взыскано 107 500 рублей убытков. Арбитражный суд Северо-Кавказского округа постановлением от 15.01.2020 решение от 08.07.2019 и постановление Пятнадцатого арбитражного апелляционного суда от 19.10.2019 оставил без изменений. В кассационной жалобе предприниматель просит об отмене судебных актов, ссылаясь на принятие недопустимых доказательств и отсутствие вины в причинении вреда.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предприниматель в силу договора аренды является лицом, ответственным за убытки, возмещенные страховщиком. Размер подлежащей взысканию суммы определен с учетом возражений предпринимателя в отношении представленных доказательств. Вина как условие ответственности не принята в соответствии с пунктом 3 статьи 401 Гражданского кодекса Российской Федерации и отсутствием чрезвычайных непредотвратимых обстоятельств причинения вреда.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СК "ВТБ Страхование" в лице филиала СК "ВТБ Страхование" в г. Краснодаре (подробнее)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