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19.06.2019, оставленным без изменения постановлением Одиннадцатого арбитражного апелляционного суда от 12.09.2019, в удовлетворении иска отказано. Арбитражный суд Поволжского округа постановлением от 12.12.2019 решение от 19.06.2019 и постановление Одиннадцатого арбитражного апелляционного суда от 12.09.2019 оставил без изменения. В кассационной жалобе общество «Страховая группа «АСКО» просит об отмене судебных актов вследствие неправомерной квалификации заявленной суммы в качестве неосновательного обогащения, признания ответчика слабой стороной правоотношений и отсутствия у него самостоятельной обязанности по уплате второй части страховой премии в случае непоступления средств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усмотрели нарушение страховщиком пределов осуществления прав при исполнении договора сельскохозяйственного страхования с государственной поддержкой от 02.06.2016 № СХУ32-ГО/16. Оснований для вмешательства в компетенцию судов на применение статьи 10 Гражданского кодекса Российской Федерации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"Страховая группа "АСКО" в лице конкурсного управляющего государственной корпорации "Агентство по страхованию вкладов", г.Москва (подробнее) ООО "СГ "АСКО" (подробнее) Ответчики: ООО "Среднее-Девятово", Лаишевский район, с. Среднее Девятово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