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25.06.2019, оставленным без изменения постановлением Седьмого арбитражного апелляционного суда от 18.09.2019 и постановлением Арбитражного суда Западно-Сибирского округа от 25.12.2019, в удовлетворении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за период с 01.01.2014 по 31.12.2015 инспекцией вынесено решение, которым доначислен налог на добавленную стоимость (далее – НДС) в сумме 1 331 876 рублей, соответствующие суммы пени и штрафа. Основанием для доначисления налога послужили выводы налогового органа о необоснованном получении налоговой выгоды в виде применения налоговых вычетов по хозяйственным операциям с обществами «Легион», «Дело», «Барна» и «Агрос» по договорам поставки сельскохозяйственной продукции. Не согласившись с решением инспекции, общество обратилось в арбитражный суд. Отказывая в удовлетворении требования, суды первой и апелляционной инстанций, исследовав и оценив представленные в материалы дела доказательства, руководствуясь положениями статей 146, 169, 171, 172,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наличии у налогового органа правовых оснований для принятия решения с учетом доказанности создания обществом формального документооборота, направленного на получение из бюджета необоснованной налоговой выгоды, с чем согласился суд округа. Суды установили, что представленные обществом документы содержат недостоверные сведения, не подтверждают реальности хозяйственных операций с заявленными в них контрагентами, которые не имели необходимых условий (технических средств и трудовых ресурсов) для выполнения договорных обязательств, движение денежных средств носило транзитный характер, поставку пшеницы в адрес общества от контрагентов ООО «Легион» и ООО «Дело» фактически осуществляло ООО «Колос», применяющее 3 специальный режим налогообложения, товарно-транспортные документы не подтверждают поступление товара от спорных контрагентов. Доводы заявителя, в том числе о реальности хозяйственных операций, являлись предметом рассмотрения судов трех инстанций и получили надлежащую правовую оценку, выражают несогласие с установленными фактическими обстоятельствами дела, направлены на их переоценку, не подтверждают существенных нарушений норм материального и процессуального права, повлиявших на исход дела, в связи с чем не могут служить основанием для передачи жалобы на рассмотрение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«Тотал Трэйд»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