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18.04.2019 исковые требования удовлетворены. Определением Девятого арбитражного апелляционного суда от 28.10.2019, оставленным без изменения постановлением Арбитражного суда Московского округа от 19.12.2019, апелляционная жалоба возвращена ответчику в связи с пропуском срока подачи и отказом в удовлетворении ходатайства о восстановлении срока. В кассационной жалобе общество «Визенхоф Рус» просит об отмене судебных актов, ссылаясь на неизвещение его о рассмотрении дела и игнорирование этого обстоятельства апелляционным и окружным судами. Кассационная жалоба в части обжалования решения Арбитражного суда города Москвы от 18.04.2019 подана с нарушением подсудности, установленной частью 1 статьи 291.1 Арбитражного процессуального кодекса Российской Федерации, поэтому в силу пункта 5 части 1 статьи 291.5 Кодекса в указанной части жалоба не подлежит рассмотрению по существу.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в отношении судебных актов апелляционного и окружного судов не усматривается. Апелляционный суд установил отсутствие у заявителя объективных препятствий для обращения с апелляционной жалобой в отведенный законом срок исходя из предъявляемых к надлежащему извещению требований и должных действий заявителя как участвующего в деле лица по получению сведений о судебном процессе (статьи 121, 123 Арбитражного процессуального кодекса Российской Федерации). Довод заявителя о ненадлежащем извещении о начавшемся процессе был предметом проверки судов и отклонен, поскольку судами установлено своевременное направление обществу «Визенхоф Рус» копий определений о принятии искового заявления к производству и о назначении дела к судебному разбирательству по адресу, указанному в Едином государственном реестре юридических лиц, и возвращение указанной корреспонденции в арбитражный суд с отметкой органа почтовой связи об истечении срока хранения.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«Визенхоф Рус»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