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30.05.2019 исковые требования удовлетворены. Постановлением Тринадцатого арбитражного апелляционного суда от 30.09.2019, оставленным без изменения постановлением Арбитражного суда Северо-Западного округа от 22.01.2020, решение от 30.05.2019 отменено, в удовлетворении иска отказано. В кассационной жалобе общество «Снабтех» просит об отмене судебных актов апелляционного и окружного судов, ссылаясь на наличие доказательств принятия товара от перевозчика и процессуальное нарушение.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установил, что транспортная накладная не является доказательством исполнения обязательства истца по договору от 24.10.2018 № 145/10-18, поскольку в ней указан не принадлежащий ответчику адрес и подписана она лицом, полномочия которого ответчиком не подтверждены. В связи недоказанностью поставки в иске отказано в соответствии со статьями 309 , 486 , 506 , 516 Гражданского кодекса Российской Федерации. Доводы жалобы не подтверждают процессуального нарушения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«Снабтех»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"СнабТех" (подробнее) Ответчики: ООО "ЛенХимПром"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