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акта зачёта взаимных требований от 07.07.2017 между должником и закрытым акционерным обществом «Развитие территорий «Петербургская недвижимость» (далее – общество), согласно которому определена завершающая обязанность одной стороны в отношении другой по взаимосвязанным договорам: договору поставки от 24.05.2016 № РТПН-СКР/КУд9П; договору подряда от 10.04.2016 № РТ-КУ-9/КП; договору подряда от 20.07.2015 № РТ-КУ-11/1-К; договору подряда от 01.06.2015 № РТ-КУ-12/КР на общую сумму 22 456 731 рублей 49 копеек. Определением Арбитражного суда города Санкт-Петербурга и Ленинградской области от 03.06.2019, оставленным без изменения постановлениями Тринадцатого арбитражного апелляционного суда от 30.08.2019 и Арбитражного суда Северо-Западного округа от 26.12.2019,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спор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61.1, 61.3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акта зачёта, совершённого между должником и незаинтересованным с ним лицом с целью установления сальдо взаимных предоставлений по прекращённым обязательствам, недействительной сделкой по признаку оказания предпочтения.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«Строительная компания «РИЛ» Ковшовой Полине Витальевне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