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предприниматель обратился в суд с заявлением об установлении и включении в реестр требований кредиторов должника задолженности в размере 3 415 000 рублей. Определение Арбитражного суда Оренбургской области от 09.07.2019 заявление удовлетворено. Постановлением Восемнадцатого арбитражного апелляционного суда от 19.09.2019, оставленным без изменения постановлением Арбитражного суда Уральского округа от 24.12.2019,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принятое по делу определение и разрешая спор, апелляционный суд, руководствуясь статьями 410, 412 Гражданского кодекса Российской Федерации, статьями 16,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обязательство третьего лица (цедента) к должнику, уступленное предпринимателю, прекращено зачётом встречного однородного требования, что подтверждено вступившими в законную силу судебными актами, в связи с чем пришел к выводу об отсутствии оснований для включения задолженности в реестр.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Миронову Дмитрию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