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Сабурова Т.А. обратилась в суд с заявлением о включении в реестр требований кредиторов должника задолженности в размере 10 056 000 рублей, из которых: 2 710 000 рублей – сумма денежных средств, уплаченных по договору купли-продажи от 29.09.2016, который был признан недействительным решением Арбитражного суда Челябинской области от 11.05.2017 по делу № А76-24535/2016, 7 346 000 рублей – задолженность по договору уступки права требования от 01.12.2016. Определением Арбитражного суда Челябинской области от 22.07.2019, оставленным без изменения постановлениями Восемнадцатого арбитражного апелляционного суда от 13.09.2019 и Арбитражного суда Уральского округа от 19.12.2019, в удовлетворении заявления отказано. В кассационной жалобе, поданной в Верховный Суд Российской Федерации, заявитель просит изменить постановления судов апелляционной инстанции и округа, исключив из мотивировочной части данных судебных актов вывод о том, что факт возникновения обязательств должника на сумму предъявленных требований не подтвержден.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в силе принятое по делу определение, апелляционный суд, руководствуясь статьями 167, 1102, 1109 Гражданского кодекса Российской Федерации, статьей 61.6, Федерального закона от 26.10.2002 № 127-ФЗ «О несостоятельности (банкротстве)», пунктом 27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того, что основанное на возврате исполненного по недействительной сделке требование не подлежит учёту в реестре во избежание риска получения стороной неосновательного обогащения, поскольку полученное по ней недвижимое имущество не возвращено в конкурсную массу, а доказательств фактической передачи должнику, получившему несуществующее право требования, денежных средств не представлено.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выводов, а также исключения из содержания обжалуемых судебных актов поименованных заявителем выводов соответствующего содержания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Сабуровой Татьяне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