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Стуков Алексей Васильевич обратился в суд с заявлением об утверждении положения о порядке, условиях и сроках реализации имущества гражданина – дебиторской задолженности в размере 2 937 344 рублей 30 копеек. Определением Арбитражного суда Свердловской области от 28.05.2019, оставленным без изменения постановлениями Семнадцатого арбитражного апелляционного суда от 23.09.2019 и Арбитражного суда Уральского округа от 20.12.2019, заявление удовлетворено, положение о продаже имущества должника утверждено в предложенной финансовым управляющим редакции.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110, 111, 112, 139, 213.26 Федерального закона от 26.10.2002 № 127-ФЗ «О несостоятельности (банкротстве)», исходили из того, что предложенный финансовым управляющим вариант положения о продаже имущества должника не противоречит положениям законодательства о банкротстве, вопреки аргументам заявителя не требует утверждения собранием кредиторов в силу отсутствия у него статуса индивидуального предпринимателя, не нарушает прав и интересов кредиторов и должника, а начальная цена продажи прав требований соответствует номинальному размеру дебиторской задолженности.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Костромину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