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обратился в суд с заявлением об установлении процентов по вознаграждению в размере 1 200 871 рубля 23 копеек. Определением Арбитражного суд города Москвы от 21.08.2019, оставленным без изменения постановлениями Девятого арбитражного апелляционного суда от 21.10.2019 и Арбитражного суда Московского округа от 20.01.2020, в удовлетворении заявления отказано. В кассационной жалобе, поданной в Верховный Суд Российской Федерации, заявитель просит отменить указанный судебные акты и принять по делу новый судебный акт об удовлетворении заявленных требований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20.6, 142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исходя из фактических обстоятельств, обусловленных стандартным и не требующим дополнительного стимулирования объёмом выполненных управляющим работ, нарушением им порядка расчётов с залоговым кредитором, пришли к выводам об отсутствии правовых оснований для установления и выплаты заявителю процентов по вознаграждению.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РУССТРОЙБАНК В ЛИЦЕ КУ ГК АСВ (подробнее) ИФНС РОССИИ №14 ПО Москве (подробнее) ООО Медтехника (подробнее) ООО "Циния" (подробнее) Ответчики: ООО "ЭКО ХАУС" (подробнее) Иные лица: к/у Жиркин Д.А. (подробнее) НП СОАУ "Развитие" (подробнее) ООО ПравоИнвест (подробнее) Управление Росреестра по г.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