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07.03.2019 исковые требования удовлетворены. Двадцать первый арбитражный апелляционный суд от 15.08.2019 отменил решение от 07.03.2019 и отказал в удовлетворении иска. Арбитражный суд Центрального округа от 12.12.2019 постановление Двадцать первого арбитражного апелляционного суда от 15.08.2019 оставил без изменения. В кассационной жалобе предприятие просит об отмене судебных актов апелляционного и окружного судов, ссылаясь на неправомерное проведение зачета и отсутствие нарушения законодательства при формировании тарифа.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 неправомерности зачета рассмотрен судом округа, установившим отказ в удовлетворении иска апелляционным судом по иному основанию. Апелляционный суд, повторно рассмотревший дело, руководствовался установленными в деле № А83-10938/2017 обстоятельствами и установил оплату компанией оказанных в рамках договора услуг в полном объеме по экономически обоснованному тарифу на швартовые операции.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Республики Крым «Крымские морские порты»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Филиал Государственного унитарного предприятия Республики Крым "Крымские морские порты" "Керченский рыбный порт" (подробнее) Ответчики: ООО "Морская Компания "Корвет" (подробнее) Иные лица: ФБУ Крымская ЛСЭ Минюста России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