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01.07.2019 иск удовлетворен. Постановлением Пятнадцатого арбитражного апелляционного суда от 18.09.2019, оставленным без изменения постановлением Арбитражного суда Северо-Кавказского округа от 11.12.2019, решение изменено: иск удовлетворен частично. В кассационной жалобе компания просит об отмене судебных актов апелляционного и окружного судов как не соответствующих судебной практике.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компании о противоречии судебной практике исключения из состава расходов на восстановление вагонов стоимости контрольных и регламентных работ неоснователен, поскольку спорные правоотношения возникли не в связи с отцепочным ремонтом.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«Холдинговая компания «Новотранс»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Холдинговая компания "Новотранс" (подробнее) Ответчики: АО "ТАГАНРОГСКИЙ МОРСКОЙ ТОРГОВЫЙ ПОРТ"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