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29.04.2019, оставленным без изменения постановлением Девятого арбитражного апелляционного суда от 13.08.2019 и постановлением Арбитражного суда Московского округа от 11.12.2019, в иске отказано. В кассационных жалобах общество «Параграта» и Кочетков В.А. просят о пересмотре судебных актов, ссылаясь на нарушение в оценке доказательств передачи товара.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Факт передачи автомобиля во исполнение договора от 02.09.2015 № Р-0000207 установлен на основании доказательств, поименованных и оцененных судом первой инстанции, к компетенции которого отнесены эти процессуальные действия. Заявление о фальсификации доказательств рассмотрено судом в порядке статьи 161 Арбитражного процессуального кодекса Российской Федерации. Вопросы доказывания и оценки доказательств, на которых основаны доводы жалоб,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«Параграта» и гражданину Кочеткову Владимиру Александровичу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