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21.05.2019, оставленным без изменения постановлением Четырнадцатого арбитражного апелляционного суда от 12.09.2019, взыскано 407 697 рублей задолженности и 12 000 рублей расходов на услуги представителя. Арбитражный суд Северо-Западного округа постановлением от 17.12.2019 решение от 21.05.2019 и постановление Четырнадцатого арбитражного апелляционного суда от 12.09.2019 оставил без изменения. В кассационной жалобе фонд просит об отмене судебных актов, ссылаясь на некачественность оказанных услуг, подтвержденную проведенной в процессе рассмотрения дела медико-экономической экспертизой, имеющей силу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Односторонние акты медико-экономической экспертизы, представленные в процессе рассмотрения дела, исследованы судами в качестве доказательств и результат их оценки отражен в судебных актах. Вопросы доказывания и оценки доказательств, отнесенные к компетенции судов, рассматривающих дело по правилам первой инстанции, не составляют оснований для кассационного пересмотра судебных актов. Руководствуясь статьями 291.6 , 291.8 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"Север-Сервис" (подробнее) Ответчики: АО "МАКС-М" (подробнее) АО "Медицинская акционерная страховая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