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12.04.2019, оставленным без изменения постановлением Девятого арбитражного апелляционного суда от 03.10.2019, иск удовлетворен. Арбитражный суд Московского округа постановлением от 23.12.2019 отменил решение от 12.04.2019 и постановление Девятого арбитражного апелляционного суда от 03.10.2019 и отказал в удовлетворении иска. В кассационной жалобе общество «Страховая компания «Арсеналъ» просит об отмене постановления суда округа вследствие нарушения в применении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Контракт от 12.09.2016 № 31/29ГК заключен после изменения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 и должен соответствовать этому Закону в соответствующей периоду совершения контракта редакции. Страховая выплата в связи с возникшим в рамках контракта от 12.09.2016 № 31/29ГК страховым случаем произведена обществом «Страховая компания «Арсеналъ» в соответствии с названным Законом и контрактом и не может быть переложена на другое лицо.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