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2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«Вектор» удовлетворить. Срок подачи кассационной жалобы на решение Арбитражного суда города Санкт-Петербурга и Ленинградской области от 18.07.2019, постановление Тринадцатого арбитражного апелляционного суда от 08.10.2019 и постановление Арбитражного суда Северо-Западного округа от 10.02.2020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