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29.04.2019, оставленным без изменения постановлением Девятого арбитражного апелляционного суда от 13.08.2019 и постановлением Арбитражного суда Московского округа от 11.12.2019, в иске отказано. В кассационных жалобах общество «Параграта» и ФИО1 просят о пересмотре судебных актов, ссылаясь на нарушение в оценке доказательств передачи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Факт передачи автомобиля во исполнение договора от 02.09.2015 № Р-0000207 установлен на основании доказательств, поименованных и оцененных судом первой инстанции, к компетенции которого отнесены эти процессуальные действия. Заявление о фальсификации доказательств рассмотрено судом в порядке статьи 161 Арбитражного процессуального кодекса Российской Федерации. Вопросы доказывания и оценки доказательств, на которых основаны доводы жалоб,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«Параграта» и гражданину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"ПАРАГРАТА" (подробнее) Ответчики: АО "Авилон Автомобильная Группа" (подробнее) Иные лица: ГУ Управление по вопросам миграции МВД России по Ростовской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