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Москва от 13.06.2019, оставленным без изменения постановлением Девятого арбитражного апелляционного суда от 11.09.2019 и постановлением Арбитражного суда Московского округа от 30.12.2019, исковые требования удовлетворены. В кассационной жалобе акционерное общество «Главное управление обустройства войск» просит о пересмотре судебных актов, ссылаясь на ошибочный вывод о причастности к допущенной истцом просрочке и неосновательное неприменение в связи с ней договорного условия об удержании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Руководствуясь статьями 330 , 506 , 516 Гражданского кодекса Российской Федерации, суды удовлетворили иск по установленным фактам поставки истцом (поставщиком) товара в рамках договора от 21.11.2016 № 1213187377272090942000000/2016/2-1194 и неоплаты его ответчиком (покупателем). Условия для реализации договорного права на удержание неустойки судами не установлено, поэтому довод об удержании отклонен обоснованно.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«Главное управление обустройства войск»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"Торгтехоборудование" (подробнее) Ответчики: АО "Главное управление обустройства войск" (подробнее) Судьи дела: Ксенофонтова Н.А.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