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20.05.2019, оставленным без изменения постановлением Девятого арбитражного апелляционного суда от 27.08.2019, взыскано 2 417 423, 62 доллара США неустойки в рублях по курсу Центрального Банка Российской Федерации. Арбитражный суд Московского округа постановлением от 11.12.2019 решение от 20.05.2019 и постановление Девятого арбитражного апелляционного суда от 27.08.2019 оставил без изменения. В кассационной жалобе общество «Силовые машины» просит об отмене судебных актов как не соответствующих договору и обстоятельствам его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нарушение ответчиком обязательства, за которое договором от 14.12.2015 № 05030856/091773-0877/253/1182-Д/2015-ККАЭС 3,4-4 предусмотрена неустойка. Размер требуемой неустойки обсужден и установлен судами. Наличие заявленных ответчиком условий для применения статьи 404 Гражданского кодекса Российской Федерации не установлено.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«Силовые машины»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"ДИРЕКЦИЯ ЕДИНОГО ЗАКАЗА ОБОРУДОВАНИЯ ДЛЯ АЭС" (подробнее) Федеральное агентство по рыболовству (подробнее) Ответчики: ООО ПИЛОН (подробнее) ПАО "СИЛОВЫЕ МАШИНЫ - ЗТЛ, ЛМЗ, ЭЛЕКТРОСИЛА, ЭНЕРГОМАШЭКСПОРТ"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