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30.03.2019 в удовлетворении иска отказано. Тринадцатый арбитражный апелляционный суд постановлением от 12.09.2019 отменил решение от 30.03.2019 и удовлетворил иск в заявленном размере. Арбитражный суд Северо-Западного округа постановлением от 16.12.2019 постановление Тринадцатого арбитражного апелляционного суда от 12.09.2019 оставил без изменения. В кассационной жалобе ФИО1 просит об отмене судебных актов апелляционного и окружного судов, ссылаясь на недоказанность неосновательного обогащения.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относятся к компетенции судов, рассматривающих дело по правилам первой инстанции, и не составляют оснований для пересмотра судебных актов в кассационном порядке. Апелляционный суд, повторно рассмотревший дело, установил наличие неосновательного обогащения на стороне ответчика и в соответствии со статей 1102 Гражданского кодекса Российской Федерации удовлетворил иск.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ПАО "Сбербанк России" (подробнее) Ответчики: ООО "Принт" (подробнее) Иные лица: АНО "Экспертно-криминалистический центр "Судебная экспертиза" (подробнее) Ушанёв Дмитрий Николаевич (подробнее) Финансовый управляющий Коняев И.В.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