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Ренессанс Страхование» обратилось в Арбитражный суд Челябинской области с иском о взыскании с общества с ограниченной ответственностью «Мега-М» в порядке суброгации 1 278 961 рубля 76 копеек.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«ГетКарго», общество с ограниченной ответственностью «ДЛ-Транс», общество с ограниченной ответственностью «ДНС Ритейл». Решением Арбитражного суда Челябинской области от 13.08.2019 иск удовлетворен. Постановлением Восемнадцатого арбитражного апелляционного суда от 07.11.2019 решение суда оставлено без изменения. Арбитражный суд Уральского округа постановлением от 13.02.2020 указанные судебные акты оставил без изменения. Общество с ограниченной ответственностью «Мега-М»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лицом, ответственным за причиненные убытки в связи с утратой груза, является ответчик и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признав размер ущерба доказанным и срок исковой давности не пропущенным, руководствуясь положениями статей 15 , 387 , 393 , 401 , 785 , 796 , 930 , 965 , 993 , 1064 Гражданского кодекса Российской Федерации, суды сделали вывод об обоснованности иска. Доводы, изложенные в кассационной жалобе, в том числе о недоказанности размера ущерба,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«Мега-М»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"Группа Ренессанс Страхование" (подробнее) Ответчики: ООО "МЕГА - М"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