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01.08.2019, оставленным без изменения постановлением Девятого арбитражного апелляционного суда от 15.10.2019, в удовлетворении заявления отказано. Арбитражный суд Московского округа постановлением от 17.12.2019 определение от 01.08.2019 и постановление Девятого арбитражного апелляционного суда от 15.10.2019 оставил без изменения. В кассационной жалобе общество «Стритвайс тренд» просит об отмене судебных актов, ссылаясь на отсутствие законных ограничений для обращения взыскания на находящиеся у КП «Мосгорпечать» денежные средства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денежные средства, на которые заявитель просит обратить взыскание, имеют обременение в пользу контрагента должника, что исключает притязание на них взыскателя.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«Стритвайс тренд»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"СТРИТВАЙС ТРЕЙД" (подробнее) Ответчики: ООО "Пресса для всех" (подробнее) Иные лица: КП "Мосгорпечать"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