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10.06.2019, оставленным без изменения постановлением Семнадцатого арбитражного апелляционного суда от 02.09.2019 и постановлением Арбитражного суда Уральского округа от 10.12.2019, в удовлетворении иска отказано. В кассационной жалобе предприниматель просит отменить судебные акты, ссылаясь на отсутствие доказательств некачественного оказания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Выводы судов о наличии основания для отказа больницы от принятия оказанных услуг подтверждены исследованными судами доказательствами исполнения договора от 20.11.2017 № 105 и соответствуют статьям 720 , 721 , 753 , 779 , 781 Гражданского кодекса Российской Федерации. Оснований для иной оценки правоотношений сторон на стадии кассационного производства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Ответчики: ГОСУДАРСТВЕННОЕ БЮДЖЕТНОЕ УЧРЕЖДЕНИЕ ЗДРАВООХРАНЕНИЯ ПЕРМСКОГО КРАЯ "ГОРОДСКАЯ КЛИНИЧЕСКАЯ БОЛЬНИЦА №7"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