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16.05.2019, оставленным без изменения постановлением Одиннадцатого арбитражного апелляционного суда от 23.08.2019, в удовлетворении иска отказано. Арбитражный суд Поволжского округа постановлением от 19.12.2019 решение от 16.05.2019 и постановление Одиннадцатого арбитражного апелляционного суда от 23.08.2019 оставил без изменения. В кассационной жалобе страховая группа «АСКО» просит об отмене судебных актов, ссылаясь на судебную практику в качестве источника взыскания с публично-правового образования недостающей части страховых премий.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указали, что заключенные с третьими лицами договоры страхования не являются основаниями возникновения обязанности ответчика по уплате страховых премий, поэтому правомерно отказали в иске. Спорные требования не могут рассматриваться как заявленные к публично-правовому образованию, поскольку различны по правовым основаниям и предмету доказывания.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 (подробнее) Ответчики: Министерство сельского хозяйства и продовольствия Республики Татарстан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