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«Федеральная сетевая компания Единой энергетической системы» (бенефициар) обратилось в Арбитражный суд города Москвы с иском о взыскании с публичного акционерного общества «Бинбанк», замененного в порядке статьи 48 Арбитражного процессуального кодекса Российской Федерации, на публичное акционерное общество Банк «Финансовая Корпорация Открытие» (гаранта) 130 946 115 рублей 25 копеек по банковской гарантии от 23.01.2014 № КRО/7579 и 3 048 533 рублей 18 копеек процентов за пользование чужими денежными средствами за период с 08.08.2017 по 13.11.2017, с начислением процентов по день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привлечено акционерное общество «ИСК «Союз-Сети» (принципал). Решением Арбитражного суда города Москвы от 06.06.2019 иск удовлетворен. 2 Постановлением Девятого арбитражного апелляционного суда от 26.09.2019 решение суда первой инстанции оставлено без изменения. Арбитражный суд Московского округа постановлением от 20.01.2020 указанные судебные акты оставил без изменения. Публичное акционерное общество Банк «Финансовая Корпорация Открытие»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368, 370, 374, 375, 395 Гражданского кодекса Российской Федерации и исходили из того, что требование бенефициара и приложенные документы соответствуют условиям гарантии, предъявлены в установленном порядке, в пределах срока ее действия, отсутствуют предусмотренные статьей 376 Гражданского кодекса Российской Федерации основания для отказа гаранта в совершении платежа. Явных намерений бенефициара недобросовестно обогатиться путем истребования платежа от гаранта судами не установлено.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«Финансовая Корпорация Открытие»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