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23.04.2019, оставленным без изменения постановлением Двенадцатого арбитражного апелляционного суда от 19.08.2019, взыскано 470 рублей утраченной товарной стоимости, 5 000 рублей расходов на услуги оценщика, 10 000 рублей расходов на услуги представителя и 900 рублей почтовых расходов; с ответчика взыскано 2 000 рублей расходов на экспертизу. Арбитражный суд Поволжского округа постановлением от 10.12.2019 решение от 23.04.2019 и постановление Двенадцатого арбитражного апелляционного суда от 19.08.2019 оставил без изменения. В кассационной жалобе общество «Зетта Страхование» просит об отмене судебных актов, ссылаясь на игнорирование его довода о нарушении принципа пропорциональности распределения судебных расходов и несоответствие выводов судов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Взыскание утраченной товарной стоимости основано на исследованных и оцененных судами в пределах компетенции доказательствах. Судебные расходы взысканы с учетом законных и установленных судебной практикой критериев и обстоятельствами дела.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«Зетта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"ПрофЭкспертиза" (подробнее) Ответчики: ООО "Зетта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