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14.05.2019, оставленным без изменения постановлением Девятого арбитражного апелляционного суда от 10.09.2019, в удовлетворении иска отказано в связи с отсутствием страхового случая. Арбитражный суд Московского округа постановлением от 23.12.2019 отменил решение от 14.05.2019 и постановление Девятого арбитражного апелляционного суда от 10.09.2019 вследствие наличия не устраненных противоречий в представленных доказательствах и направил дело на новое рассмотрение в Арбитражный суд города Москвы. В кассационной жалобе акционерное общество «СОГАЗ» просит об отмене постановления окружного суда, ссылаясь на незаконную переоценку обстоятельств дела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Отмена судебных актов нижестоящих инстанций в связи с неустановлением необходимых для разрешения дела обстоятельств находится в пределах полномочий, предоставленных суду округа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«Страховое общество газовой промышленности»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