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16.04.2019, оставленным без изменения постановлением Тринадцатого арбитражного апелляционного суда от 22.08.2019 и постановлением Арбитражного суда Северо-Западного округа от 17.12.2019, в удовлетворении иска отказано в связи с отсутствием правового основания для возмещения убытков сверх предела, установленного Федеральным законом от 17.07.1999 № 176-ФЗ «О почтовой связи». В кассационной жалобе общество просит о пересмотре судебных актов вследствие нарушения норм права о деликтных обязательствах и игнорирования признания предприятием вины.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рассматриваемом случае обязательства предприятия возникло в силу Федерального закона от 17.07.1999 № 176-ФЗ «О почтовой связи», норма об ответственности которого правомерно применена к предприятию за недоставку обществу почтовой корреспонденции. Нормы права об обязательствах вследствие причинения вреда (статьи 15 , 1064 , 1082 Гражданского кодекса Российской Федерации) в ситуации когда вред не является основанием возникновения обязательств не применимы. На основании изложенного,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«Инжпетрострой»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ЗАО "Инжпетрострой" (подробнее) Ответчики: ФГУП "Почта России" (подробнее) Иные лица: АО "Почта России"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