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09.08.2019, оставленным без изменения постановлениями Одиннадцатого арбитражного апелляционного суда от 08.10.2019 и Арбитражного суда Поволжского округа от 21.01.2020, требования, объединенные в одно производство, удовлетворены. В жалобе антимонопольный орган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организатора торгов (учреждение) при проведении торгов на право заключения договоров аренды земельных участков антимонопольным органом принято решение. Управлением жалоба общества признана обоснованной, организатор торгов нарушившим требования пункта 8 части 8 статьи 39.11 Земельного кодекса Российской Федерации (далее – Земельный кодекс). Выдано предписание об устранении выявленных нарушений действующего законодательства. Считая ненормативные акты антимонопольного органа незаконными, предприниматель обратился в арбитражный суд. Удовлетворяя заявленные требования,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39.11 , 39.12 Земельного кодекса , статьи 1 Градостроительного кодекса Российской Федерации, статьи 18.1 Федерального закона от 26.07.2006 № 135-ФЗ «О защите конкуренции» (далее – Закон о защите конкуренции),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утвержденными приказом Федеральной антимонопольной службы от 10.02.2010 № 67, пришли к выводу о наличии оснований для признания ненормативных актов управления незаконными. Судебные инстанции исходили из того, что обжалуемые ненормативные акты в совокупности нарушают права и законные интересы как организатора торгов, не допустившего нарушений при проведении публичной процедуры торгов, так и добросовестного участника торгов, признанного победителем в результате проведенной публичной процедуры (предпринимателя). Суды установили, что на момент проведения торгов, на спорном земельном участке отсутствовали какие либо капитальные строения, наличие которых препятствовало реализации земельного участка на торгах; управление, делая вывод о том, что заявителем (победителем торгов) не может быть использован земельный участок, фактически ограничило право предпринимателя на участие в торгах, заранее предрешая (исключая) возможные дальнейшие действия победителя, связанные с использованием земельного участка, при этом отметив, что контроль за правомерностью использования в последующем приобретенного на торгах земельного участка (права аренды), не входит в компетенцию антимонопольного органа в рамках рассмотрения жалоб в порядке статьи 18.1 Закона о защите конкуренции. Обстоятельства данного спора и представленные доказательства были предметом рассмотрения и оценки судов. Доводы антимонопольного органа сводятся к изложению обстоятельств дела, которые были предметом исследования и оценки судов, что не свидетельствует о допущенных судами нарушениях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